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Xl442"/>
        <w:suppressAutoHyphens w:val="true"/>
        <w:spacing w:beforeAutospacing="0" w:before="0" w:afterAutospacing="0" w:after="0"/>
        <w:jc w:val="center"/>
        <w:rPr>
          <w:rFonts w:ascii="Calibri" w:hAnsi="Calibri" w:eastAsia="Calibri" w:asciiTheme="minorHAnsi" w:hAnsiTheme="minorHAnsi"/>
          <w:bCs w:val="false"/>
          <w:szCs w:val="22"/>
          <w:lang w:eastAsia="en-US"/>
        </w:rPr>
      </w:pPr>
      <w:r>
        <w:rPr>
          <w:rFonts w:eastAsia="Calibri" w:ascii="Calibri" w:hAnsi="Calibri" w:asciiTheme="minorHAnsi" w:hAnsiTheme="minorHAnsi"/>
          <w:bCs w:val="false"/>
          <w:szCs w:val="22"/>
          <w:lang w:eastAsia="en-US"/>
        </w:rPr>
        <w:t>Sylabus</w:t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</w:r>
    </w:p>
    <w:tbl>
      <w:tblPr>
        <w:tblW w:w="9960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7"/>
        <w:gridCol w:w="507"/>
        <w:gridCol w:w="116"/>
        <w:gridCol w:w="960"/>
        <w:gridCol w:w="29"/>
        <w:gridCol w:w="592"/>
        <w:gridCol w:w="142"/>
        <w:gridCol w:w="52"/>
        <w:gridCol w:w="787"/>
        <w:gridCol w:w="11"/>
        <w:gridCol w:w="425"/>
        <w:gridCol w:w="352"/>
        <w:gridCol w:w="215"/>
        <w:gridCol w:w="573"/>
        <w:gridCol w:w="70"/>
        <w:gridCol w:w="396"/>
        <w:gridCol w:w="100"/>
        <w:gridCol w:w="567"/>
        <w:gridCol w:w="137"/>
        <w:gridCol w:w="335"/>
        <w:gridCol w:w="374"/>
        <w:gridCol w:w="87"/>
        <w:gridCol w:w="23"/>
        <w:gridCol w:w="31"/>
        <w:gridCol w:w="289"/>
        <w:gridCol w:w="695"/>
        <w:gridCol w:w="8"/>
        <w:gridCol w:w="232"/>
        <w:gridCol w:w="545"/>
        <w:gridCol w:w="675"/>
        <w:gridCol w:w="7"/>
      </w:tblGrid>
      <w:tr>
        <w:trPr>
          <w:trHeight w:val="397" w:hRule="atLeast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16"/>
                <w:szCs w:val="16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16"/>
                <w:szCs w:val="16"/>
                <w:lang w:eastAsia="en-US"/>
              </w:rPr>
              <w:t>Kod przedmiotu</w:t>
            </w:r>
          </w:p>
        </w:tc>
        <w:tc>
          <w:tcPr>
            <w:tcW w:w="16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113" w:right="-178" w:hanging="0"/>
              <w:rPr>
                <w:rFonts w:ascii="Calibri" w:hAnsi="Calibri" w:eastAsia="Calibri" w:asciiTheme="minorHAnsi" w:hAnsiTheme="minorHAnsi"/>
                <w:sz w:val="16"/>
                <w:szCs w:val="16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16"/>
                <w:szCs w:val="16"/>
                <w:lang w:eastAsia="en-US"/>
              </w:rPr>
              <w:t>04.5_Z1PN_Csomw0319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16"/>
                <w:szCs w:val="16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16"/>
                <w:szCs w:val="16"/>
                <w:lang w:eastAsia="en-US"/>
              </w:rPr>
              <w:t>Nazwa przedmiotu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b/>
                <w:b/>
                <w:sz w:val="22"/>
                <w:szCs w:val="22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b/>
                <w:bCs/>
                <w:sz w:val="22"/>
                <w:szCs w:val="22"/>
                <w:lang w:eastAsia="en-US"/>
              </w:rPr>
              <w:t>Systemy oceniania, motywowania i wynagradzania pracowników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TMLPreformatted"/>
              <w:rPr>
                <w:rFonts w:ascii="Calibri" w:hAnsi="Calibri" w:asciiTheme="minorHAnsi" w:hAnsiTheme="minorHAnsi"/>
                <w:b/>
                <w:b/>
                <w:sz w:val="22"/>
                <w:szCs w:val="22"/>
                <w:lang w:val="en-GB"/>
              </w:rPr>
            </w:pPr>
            <w:r>
              <w:rPr>
                <w:rFonts w:ascii="Calibri" w:hAnsi="Calibri" w:asciiTheme="minorHAnsi" w:hAnsiTheme="minorHAnsi"/>
                <w:b/>
                <w:sz w:val="22"/>
                <w:szCs w:val="22"/>
                <w:lang w:val="en-US"/>
              </w:rPr>
              <w:t>Systems for evaluating, motivating and rewarding employees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Ekonomii i Zarządzania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Zarządzanie i coaching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b/>
                <w:sz w:val="20"/>
                <w:szCs w:val="20"/>
                <w:lang w:eastAsia="en-US"/>
              </w:rPr>
              <w:t>Niestacjonarne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I stopień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Profil uczenia się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Praktyczny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Do wyboru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Przedmioty do wyboru w zakresie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Zarządzanie zasobami ludzkimi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Style w:val="Domylnaczcionkaakapitu1"/>
                <w:rFonts w:ascii="Calibri" w:hAnsi="Calibri" w:eastAsia="Calibri" w:cs="Verdana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dr inż. Marcin Kłak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cs="Verdana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snapToGrid w:val="false"/>
              <w:spacing w:lineRule="auto" w:line="240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dr inż. Marcin Kłak</w:t>
            </w:r>
          </w:p>
        </w:tc>
      </w:tr>
      <w:tr>
        <w:trPr>
          <w:trHeight w:val="288" w:hRule="atLeast"/>
          <w:cantSplit w:val="true"/>
        </w:trPr>
        <w:tc>
          <w:tcPr>
            <w:tcW w:w="2831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W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Zajęcia kształtujące umiejętności praktyczne</w:t>
            </w:r>
          </w:p>
        </w:tc>
      </w:tr>
      <w:tr>
        <w:trPr>
          <w:trHeight w:val="288" w:hRule="atLeast"/>
          <w:cantSplit w:val="true"/>
        </w:trPr>
        <w:tc>
          <w:tcPr>
            <w:tcW w:w="2831" w:type="dxa"/>
            <w:gridSpan w:val="6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992" w:type="dxa"/>
            <w:gridSpan w:val="4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ZP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Wa</w:t>
            </w:r>
          </w:p>
        </w:tc>
        <w:tc>
          <w:tcPr>
            <w:tcW w:w="1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4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61" w:hRule="atLeast"/>
        </w:trPr>
        <w:tc>
          <w:tcPr>
            <w:tcW w:w="2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Liczba godzin zajęć w sem.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cs="Times New Roman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Calibri" w:hAnsi="Calibr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2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61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Legenda: W – wykład, Ć – ćwiczenia, K- konwersatorium, L – laboratorium, P – projekt, Wa – warsztaty, ZP – zajęcia praktyczne, Pr – praktyka</w:t>
            </w:r>
          </w:p>
        </w:tc>
      </w:tr>
      <w:tr>
        <w:trPr>
          <w:trHeight w:val="361" w:hRule="atLeast"/>
        </w:trPr>
        <w:tc>
          <w:tcPr>
            <w:tcW w:w="2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Semestr(y) zajęć dla kierunku uczenia się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VI</w:t>
            </w:r>
          </w:p>
        </w:tc>
        <w:tc>
          <w:tcPr>
            <w:tcW w:w="20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4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cs="Times New Roman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Calibri" w:hAnsi="Calibri"/>
                <w:sz w:val="20"/>
                <w:szCs w:val="20"/>
                <w:lang w:eastAsia="en-US"/>
              </w:rPr>
              <w:t>4</w:t>
            </w:r>
          </w:p>
        </w:tc>
      </w:tr>
      <w:tr>
        <w:trPr>
          <w:trHeight w:val="361" w:hRule="atLeast"/>
        </w:trPr>
        <w:tc>
          <w:tcPr>
            <w:tcW w:w="2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 xml:space="preserve">obowiązkowy w ramach specjalności </w:t>
            </w:r>
          </w:p>
        </w:tc>
        <w:tc>
          <w:tcPr>
            <w:tcW w:w="20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4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polski</w:t>
            </w:r>
          </w:p>
        </w:tc>
      </w:tr>
      <w:tr>
        <w:trPr>
          <w:trHeight w:val="361" w:hRule="atLeast"/>
        </w:trPr>
        <w:tc>
          <w:tcPr>
            <w:tcW w:w="2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12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Podstawowa wiedza z zakresu zarządzania.</w:t>
            </w:r>
          </w:p>
        </w:tc>
      </w:tr>
      <w:tr>
        <w:trPr>
          <w:trHeight w:val="288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Calibri" w:hAnsi="Calibri" w:eastAsia="Calibri" w:asciiTheme="minorHAnsi" w:hAnsiTheme="minorHAns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b/>
                <w:sz w:val="20"/>
                <w:szCs w:val="20"/>
                <w:lang w:eastAsia="en-US"/>
              </w:rPr>
              <w:t>Cele uczenia się</w:t>
            </w:r>
          </w:p>
          <w:p>
            <w:pPr>
              <w:pStyle w:val="Normal"/>
              <w:suppressAutoHyphens w:val="false"/>
              <w:jc w:val="both"/>
              <w:rPr>
                <w:rFonts w:ascii="Calibri" w:hAnsi="Calibri" w:eastAsia="Calibri" w:asciiTheme="minorHAnsi" w:hAnsiTheme="minorHAns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Celem przedmiotu jest przedstawienie aspektów zarządzania zasobami ludzkimi maj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cych zastosowanie w poszczególnych obszarach: motywowaniu, ocenianiu, wynagradzaniu. Umiej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ę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tno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 xml:space="preserve">ść 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zastosowania systemów motywowania, oceniania i wynagradzania w praktyce przez organizację w zakresie jej sprawnego zarządzania zasobami ludzkimi i funkcjonowania w warunkach konkurencji i zmiennego otoczenia.</w:t>
            </w:r>
          </w:p>
        </w:tc>
      </w:tr>
      <w:tr>
        <w:trPr>
          <w:trHeight w:val="397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Metody dydaktyczne stosowane w celu osiągnięcia zakładanych efektów uczenia się </w:t>
            </w:r>
          </w:p>
          <w:p>
            <w:pPr>
              <w:pStyle w:val="Normal"/>
              <w:snapToGrid w:val="false"/>
              <w:rPr>
                <w:rStyle w:val="Domylnaczcionkaakapitu1"/>
                <w:rFonts w:ascii="Calibri" w:hAnsi="Calibri" w:eastAsia="Batang" w:asciiTheme="minorHAnsi" w:hAnsiTheme="minorHAnsi"/>
                <w:bCs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 w:asciiTheme="minorHAnsi" w:hAnsiTheme="minorHAnsi"/>
                <w:bCs/>
                <w:sz w:val="20"/>
                <w:szCs w:val="20"/>
              </w:rPr>
              <w:t>- wykład konwersatoryjny z prezentacją multimedialną,</w:t>
            </w:r>
          </w:p>
          <w:p>
            <w:pPr>
              <w:pStyle w:val="Normal"/>
              <w:snapToGrid w:val="false"/>
              <w:rPr>
                <w:rStyle w:val="Domylnaczcionkaakapitu1"/>
                <w:rFonts w:ascii="Calibri" w:hAnsi="Calibri" w:eastAsia="Batang" w:asciiTheme="minorHAnsi" w:hAnsiTheme="minorHAnsi"/>
                <w:bCs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 w:asciiTheme="minorHAnsi" w:hAnsiTheme="minorHAnsi"/>
                <w:bCs/>
                <w:sz w:val="20"/>
                <w:szCs w:val="20"/>
              </w:rPr>
              <w:t>- dyskusja,</w:t>
            </w:r>
          </w:p>
          <w:p>
            <w:pPr>
              <w:pStyle w:val="Normal"/>
              <w:snapToGrid w:val="false"/>
              <w:rPr>
                <w:rStyle w:val="Domylnaczcionkaakapitu1"/>
                <w:rFonts w:ascii="Calibri" w:hAnsi="Calibri" w:eastAsia="Batang" w:asciiTheme="minorHAnsi" w:hAnsiTheme="minorHAnsi"/>
                <w:bCs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 w:asciiTheme="minorHAnsi" w:hAnsiTheme="minorHAnsi"/>
                <w:bCs/>
                <w:sz w:val="20"/>
                <w:szCs w:val="20"/>
              </w:rPr>
              <w:t>- praca w grupach,</w:t>
            </w:r>
          </w:p>
          <w:p>
            <w:pPr>
              <w:pStyle w:val="Normal"/>
              <w:snapToGrid w:val="false"/>
              <w:rPr>
                <w:rStyle w:val="Domylnaczcionkaakapitu1"/>
                <w:rFonts w:ascii="Calibri" w:hAnsi="Calibri" w:eastAsia="Batang" w:asciiTheme="minorHAnsi" w:hAnsiTheme="minorHAnsi"/>
                <w:b/>
                <w:b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 w:asciiTheme="minorHAnsi" w:hAnsiTheme="minorHAnsi"/>
                <w:bCs/>
                <w:sz w:val="20"/>
                <w:szCs w:val="20"/>
              </w:rPr>
              <w:t>- studium przypadku.</w:t>
            </w:r>
          </w:p>
        </w:tc>
      </w:tr>
      <w:tr>
        <w:trPr>
          <w:trHeight w:val="397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 w:asciiTheme="minorHAnsi" w:hAnsiTheme="minorHAnsi"/>
                <w:b/>
                <w:sz w:val="20"/>
                <w:szCs w:val="20"/>
              </w:rPr>
              <w:t>Opis efektów uczenia się</w:t>
            </w:r>
            <w:r>
              <w:rPr>
                <w:rStyle w:val="Domylnaczcionkaakapitu1"/>
                <w:rFonts w:eastAsia="Calibri" w:ascii="Calibri" w:hAnsi="Calibri" w:asciiTheme="minorHAnsi" w:hAnsiTheme="minorHAnsi"/>
                <w:b/>
                <w:sz w:val="20"/>
                <w:szCs w:val="20"/>
                <w:lang w:eastAsia="en-US"/>
              </w:rPr>
              <w:t xml:space="preserve"> dla przedmiotu </w:t>
            </w:r>
          </w:p>
        </w:tc>
      </w:tr>
      <w:tr>
        <w:trPr>
          <w:trHeight w:val="558" w:hRule="atLeast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Efekt uczenia się</w:t>
            </w:r>
          </w:p>
        </w:tc>
        <w:tc>
          <w:tcPr>
            <w:tcW w:w="611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Student, który zaliczył przedmiot wie/umie/potrafi:</w:t>
            </w:r>
          </w:p>
        </w:tc>
        <w:tc>
          <w:tcPr>
            <w:tcW w:w="1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18"/>
                <w:szCs w:val="18"/>
              </w:rPr>
            </w:pPr>
            <w:r>
              <w:rPr>
                <w:rFonts w:ascii="Calibri" w:hAnsi="Calibri" w:asciiTheme="minorHAnsi" w:hAnsiTheme="minorHAnsi"/>
                <w:sz w:val="18"/>
                <w:szCs w:val="18"/>
              </w:rPr>
              <w:t>SYMBOL (odniesienie do efektów kierunkowych)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16"/>
                <w:szCs w:val="16"/>
              </w:rPr>
            </w:pPr>
            <w:r>
              <w:rPr>
                <w:rFonts w:ascii="Calibri" w:hAnsi="Calibri" w:asciiTheme="minorHAnsi" w:hAnsiTheme="minorHAnsi"/>
                <w:sz w:val="16"/>
                <w:szCs w:val="16"/>
              </w:rPr>
              <w:t>SYMBOL (odniesienie kierunkowych efektów uczenia się do charakterystyk drugiego stopnia dla: poziomu 6 Polskiej Ramy Kwalifikacji)*</w:t>
            </w:r>
          </w:p>
        </w:tc>
      </w:tr>
      <w:tr>
        <w:trPr>
          <w:trHeight w:val="284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WIEDZA</w:t>
            </w:r>
          </w:p>
        </w:tc>
      </w:tr>
      <w:tr>
        <w:trPr>
          <w:trHeight w:val="284" w:hRule="atLeast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Orientuje się w procesie motywowania materialnego i pozamaterialnego pracowników, definiuje podstawowe pojęcia z zakresu motywowania i wynagradzania, objaśnia modele i teorie motywowania.</w:t>
            </w:r>
          </w:p>
        </w:tc>
        <w:tc>
          <w:tcPr>
            <w:tcW w:w="1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SPZZL_W07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P6S_WG P6S_WK</w:t>
            </w:r>
          </w:p>
        </w:tc>
      </w:tr>
      <w:tr>
        <w:trPr>
          <w:trHeight w:val="284" w:hRule="atLeast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color w:val="1A171B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Rozumie rolę personelu w organizacji i jego znaczenie dla procesów, zasobów, domeny działania i kierowania nią, charakteryzuje strategie zarządzania zasobami ludzkimi.</w:t>
            </w:r>
          </w:p>
        </w:tc>
        <w:tc>
          <w:tcPr>
            <w:tcW w:w="1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SPZZL_W01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P6S_WG</w:t>
            </w:r>
          </w:p>
        </w:tc>
      </w:tr>
      <w:tr>
        <w:trPr>
          <w:trHeight w:val="284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UMIEJĘTNOŚCI </w:t>
            </w:r>
          </w:p>
        </w:tc>
      </w:tr>
      <w:tr>
        <w:trPr>
          <w:trHeight w:val="284" w:hRule="atLeast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Rozwiązuje podstawowe problemy z zakresu oceniania pracowników, umie unikać błędów w ocenianiu personelu, opracowuje narzędzia do oceny pracowników.</w:t>
            </w:r>
          </w:p>
        </w:tc>
        <w:tc>
          <w:tcPr>
            <w:tcW w:w="1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SPZZL_U01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P6S_UW</w:t>
            </w:r>
          </w:p>
        </w:tc>
      </w:tr>
      <w:tr>
        <w:trPr>
          <w:trHeight w:val="284" w:hRule="atLeast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Ocenia skuteczność systemu motywowania w firmie, dobiera instrumenty motywowania, uwzględniając specyficzne uwarunkowania firmy oraz oczekiwania i wartości pracowników.</w:t>
            </w:r>
          </w:p>
        </w:tc>
        <w:tc>
          <w:tcPr>
            <w:tcW w:w="1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SPZZL_U05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P6S_UW P6S_UO</w:t>
            </w:r>
          </w:p>
        </w:tc>
      </w:tr>
      <w:tr>
        <w:trPr>
          <w:trHeight w:val="284" w:hRule="atLeast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Wyjaśnia przy pomocy pojęć socjologicznych zjawiska społeczne wpływające na procesy zatrudnienia, relacje personalne wewnątrz organizacji, analizuje problemy pracy i funkcjonowania organizacji z różnych perspektyw.</w:t>
            </w:r>
          </w:p>
        </w:tc>
        <w:tc>
          <w:tcPr>
            <w:tcW w:w="1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SPZZL_U06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P6S_UK</w:t>
            </w:r>
          </w:p>
        </w:tc>
      </w:tr>
      <w:tr>
        <w:trPr>
          <w:trHeight w:val="284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eastAsia="Calibri" w:asciiTheme="minorHAnsi" w:hAnsiTheme="minorHAnsi"/>
                <w:color w:val="FF0000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KOMPETENCJE SPOŁECZNE</w:t>
            </w:r>
          </w:p>
        </w:tc>
      </w:tr>
      <w:tr>
        <w:trPr>
          <w:trHeight w:val="284" w:hRule="atLeast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Wykazuje zdolność dostrzegania wpływu różnych działań personalnych na motywację pracowników, charakteryzuje się aktywną postawą wobec problemów w obszarze motywowania pracowników.</w:t>
            </w:r>
          </w:p>
        </w:tc>
        <w:tc>
          <w:tcPr>
            <w:tcW w:w="1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SPZZL_K06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P6S_KO P6S_KR</w:t>
            </w:r>
          </w:p>
        </w:tc>
      </w:tr>
      <w:tr>
        <w:trPr>
          <w:trHeight w:val="397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 w:asciiTheme="minorHAnsi" w:hAnsiTheme="minorHAnsi"/>
                <w:b/>
                <w:sz w:val="20"/>
                <w:szCs w:val="20"/>
              </w:rPr>
              <w:t>Metody weryfikacji efektów uczenia się</w:t>
            </w:r>
            <w:r>
              <w:rPr>
                <w:rStyle w:val="Domylnaczcionkaakapitu1"/>
                <w:rFonts w:eastAsia="Calibri" w:ascii="Calibri" w:hAnsi="Calibri" w:asciiTheme="minorHAnsi" w:hAnsiTheme="minorHAnsi"/>
                <w:b/>
                <w:sz w:val="20"/>
                <w:szCs w:val="20"/>
                <w:lang w:eastAsia="en-US"/>
              </w:rPr>
              <w:t xml:space="preserve"> dla przedmiotu (przedmiotu) w odniesieniu do form zajęć</w:t>
            </w:r>
          </w:p>
        </w:tc>
      </w:tr>
      <w:tr>
        <w:trPr>
          <w:trHeight w:val="420" w:hRule="atLeast"/>
          <w:cantSplit w:val="true"/>
        </w:trPr>
        <w:tc>
          <w:tcPr>
            <w:tcW w:w="223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  <w:szCs w:val="20"/>
              </w:rPr>
              <w:t>Efekt uczenia się</w:t>
            </w:r>
          </w:p>
        </w:tc>
        <w:tc>
          <w:tcPr>
            <w:tcW w:w="772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  <w:szCs w:val="20"/>
              </w:rPr>
              <w:t>Forma zajęć dydaktycznych</w:t>
            </w:r>
          </w:p>
        </w:tc>
      </w:tr>
      <w:tr>
        <w:trPr>
          <w:trHeight w:val="1784" w:hRule="atLeast"/>
          <w:cantSplit w:val="true"/>
        </w:trPr>
        <w:tc>
          <w:tcPr>
            <w:tcW w:w="2239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Egzamin ustny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Cząstkowa praca pisemna</w:t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Praca pisemna końcowa (np. esej)</w:t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Kolokwium</w:t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Prezentacja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Sprawozdanie</w:t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Aktywność na zajęciach</w:t>
            </w:r>
          </w:p>
        </w:tc>
        <w:tc>
          <w:tcPr>
            <w:tcW w:w="1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inne ...</w:t>
            </w:r>
          </w:p>
        </w:tc>
      </w:tr>
      <w:tr>
        <w:trPr>
          <w:trHeight w:val="339" w:hRule="exac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WIEDZA</w:t>
            </w:r>
          </w:p>
        </w:tc>
      </w:tr>
      <w:tr>
        <w:trPr>
          <w:trHeight w:val="339" w:hRule="exact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39" w:hRule="exact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57" w:hRule="exac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UMIEJĘTNOŚCI</w:t>
            </w:r>
          </w:p>
        </w:tc>
      </w:tr>
      <w:tr>
        <w:trPr>
          <w:trHeight w:val="257" w:hRule="exact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KOMPETENCJE SPOŁECZNE</w:t>
            </w:r>
          </w:p>
        </w:tc>
      </w:tr>
      <w:tr>
        <w:trPr>
          <w:trHeight w:val="306" w:hRule="exact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Kryteria oceniania kompetencji studenta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przedmiotu.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W - WIEDZA</w:t>
              <w:tab/>
              <w:t>Ocena: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Dostateczny i dostateczny plus – Student zapamiętuje i odtwarza wiedzę przewidzianą do opanowania w ramach przedmiotu;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Dobry i dobry plus – Student dodatkowo interpretuje zjawiska/problemy i potrafi rozwiązać typowy problem;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Bardzo dobry – Student potrafi rozwiązywać nawet złożone problemy z danej dziedziny, potrafi dokonać syntezy, przeprowadzić wszechstronną ocenę, stworzyć dzieło oryginalne, inspirujące innych.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U - UMIEJĘTNOŚCI</w:t>
              <w:tab/>
              <w:t>Ocena: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Dostateczny i dostateczny plus – Student orientuje się w charakterze czynności, potrafi pod kierunkiem nauczyciela akademickiego wykonać czynności/rozwiązać problemy dotyczące treści przedmiotu;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Dobry i dobry plus – Student potrafi samodzielnie wykonać czynności/zadania/rozwiązać typowe problemy dotyczące treści przedmiotu;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K - KOMPETENCJE SPOŁECZNE</w:t>
              <w:tab/>
              <w:t>Ocena: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Dostateczny i dostateczny plus – Student biernie przyswaja treści przedmiotu z wykazaniem zdolności do koncentracji uwagi i słuchania;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Dobry i dobry plus – Student aktywnie uczestniczy w zajęciach, dokonuje ocen wartościujących według kryteriów przyjętych w danej dziedzinie, potrafi aktywnie współdziałać w obrębie grupy;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>
        <w:trPr>
          <w:trHeight w:val="397" w:hRule="atLeast"/>
        </w:trPr>
        <w:tc>
          <w:tcPr>
            <w:tcW w:w="850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b/>
                <w:sz w:val="20"/>
                <w:szCs w:val="20"/>
                <w:lang w:eastAsia="en-US"/>
              </w:rPr>
              <w:t>Treść przedmiotu uczenia się (program wykładów i pozostałych zajęć)</w:t>
            </w:r>
          </w:p>
        </w:tc>
        <w:tc>
          <w:tcPr>
            <w:tcW w:w="14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>
        <w:trPr>
          <w:trHeight w:val="397" w:hRule="atLeast"/>
        </w:trPr>
        <w:tc>
          <w:tcPr>
            <w:tcW w:w="850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libri" w:hAnsi="Calibri" w:asciiTheme="minorHAnsi" w:hAnsiTheme="minorHAnsi"/>
                <w:b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Wprowadzenie do przedmiotu. Ocena pracownicza. Proces oceniania. Elementy systemu oceniania pracowników. Istota motywacji i motywowania. Motywacja do pracy. Narzędzia motywowania pracowników. Teorie motywacji do pracy. Modele procesu motywacyjnego. System motywowania pracowników. Pojęcie wynagrodzenia i jego podział. Funkcje i formy wynagrodzeń. Polityka i strategia wynagradzania. Założenia, zasady i specyfika systemu wynagradzania. Rodzaje, znaczenie i wpływ systemów wynagradzania.</w:t>
            </w:r>
            <w:r>
              <w:rPr>
                <w:rFonts w:ascii="Calibri" w:hAnsi="Calibri" w:asciiTheme="minorHAnsi" w:hAnsiTheme="minorHAnsi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pl-PL"/>
              </w:rPr>
            </w:r>
          </w:p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Projektowanie i implementacja systemu oceniania pracowników – aspekty praktyczne. Konstruowanie i analiza systemu motywowania pracowników w organizacji – aspekty praktyczne. Budowa i wdrażanie systemu wynagradzania – aspekty praktyczne.</w:t>
            </w:r>
          </w:p>
        </w:tc>
        <w:tc>
          <w:tcPr>
            <w:tcW w:w="14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W1, W2</w:t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U1, U2, U3, K1</w:t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>
        <w:trPr>
          <w:trHeight w:val="1691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Web"/>
              <w:spacing w:before="0" w:after="0"/>
              <w:rPr>
                <w:rFonts w:ascii="Calibri" w:hAnsi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  <w:szCs w:val="20"/>
              </w:rPr>
              <w:t>Literatura podstawowa:</w:t>
            </w:r>
          </w:p>
          <w:p>
            <w:pPr>
              <w:pStyle w:val="Przypisdolny"/>
              <w:numPr>
                <w:ilvl w:val="0"/>
                <w:numId w:val="1"/>
              </w:numPr>
              <w:tabs>
                <w:tab w:val="clear" w:pos="708"/>
                <w:tab w:val="left" w:pos="720" w:leader="none"/>
              </w:tabs>
              <w:suppressAutoHyphens w:val="false"/>
              <w:spacing w:before="0" w:after="0"/>
              <w:jc w:val="both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 xml:space="preserve">J. Woźniak, </w:t>
            </w:r>
            <w:r>
              <w:rPr>
                <w:rFonts w:ascii="Calibri" w:hAnsi="Calibri" w:asciiTheme="minorHAnsi" w:hAnsiTheme="minorHAnsi"/>
                <w:i/>
                <w:iCs/>
                <w:sz w:val="20"/>
              </w:rPr>
              <w:t>Współczesne systemy motywacyjne</w:t>
            </w:r>
            <w:r>
              <w:rPr>
                <w:rFonts w:ascii="Calibri" w:hAnsi="Calibri" w:asciiTheme="minorHAnsi" w:hAnsiTheme="minorHAnsi"/>
                <w:sz w:val="20"/>
              </w:rPr>
              <w:t>, PWN, Warszawa 2022.</w:t>
            </w:r>
          </w:p>
          <w:p>
            <w:pPr>
              <w:pStyle w:val="Przypisdolny"/>
              <w:numPr>
                <w:ilvl w:val="0"/>
                <w:numId w:val="1"/>
              </w:numPr>
              <w:tabs>
                <w:tab w:val="clear" w:pos="708"/>
                <w:tab w:val="left" w:pos="720" w:leader="none"/>
              </w:tabs>
              <w:suppressAutoHyphens w:val="false"/>
              <w:spacing w:before="0" w:after="0"/>
              <w:jc w:val="both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 xml:space="preserve">M. Sidor-Rządkowska, </w:t>
            </w:r>
            <w:r>
              <w:rPr>
                <w:rFonts w:ascii="Calibri" w:hAnsi="Calibri" w:asciiTheme="minorHAnsi" w:hAnsiTheme="minorHAnsi"/>
                <w:i/>
                <w:iCs/>
                <w:sz w:val="20"/>
              </w:rPr>
              <w:t>Kompetencyjne systemy ocen pracowników. Przygotowanie, wdrażanie i integrowanie z innymi systemami ZZL</w:t>
            </w:r>
            <w:r>
              <w:rPr>
                <w:rFonts w:ascii="Calibri" w:hAnsi="Calibri" w:asciiTheme="minorHAnsi" w:hAnsiTheme="minorHAnsi"/>
                <w:sz w:val="20"/>
              </w:rPr>
              <w:t>, Wolters Kluwer Polska, Warszawa 2020.</w:t>
            </w:r>
          </w:p>
          <w:p>
            <w:pPr>
              <w:pStyle w:val="Przypisdolny"/>
              <w:numPr>
                <w:ilvl w:val="0"/>
                <w:numId w:val="1"/>
              </w:numPr>
              <w:tabs>
                <w:tab w:val="clear" w:pos="708"/>
                <w:tab w:val="left" w:pos="720" w:leader="none"/>
              </w:tabs>
              <w:suppressAutoHyphens w:val="false"/>
              <w:spacing w:before="0" w:after="0"/>
              <w:jc w:val="both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 xml:space="preserve">M. Juchnowicz, H. Kinowska, T. Rostkowski, </w:t>
            </w:r>
            <w:r>
              <w:rPr>
                <w:rFonts w:ascii="Calibri" w:hAnsi="Calibri" w:asciiTheme="minorHAnsi" w:hAnsiTheme="minorHAnsi"/>
                <w:i/>
                <w:iCs/>
                <w:sz w:val="20"/>
              </w:rPr>
              <w:t>Skuteczne systemy wynagradzania w biznesie i sektorze publicznym</w:t>
            </w:r>
            <w:r>
              <w:rPr>
                <w:rFonts w:ascii="Calibri" w:hAnsi="Calibri" w:asciiTheme="minorHAnsi" w:hAnsiTheme="minorHAnsi"/>
                <w:sz w:val="20"/>
              </w:rPr>
              <w:t>, PWE, Warszawa 2022.</w:t>
            </w:r>
          </w:p>
          <w:p>
            <w:pPr>
              <w:pStyle w:val="Normal"/>
              <w:suppressAutoHyphens w:val="false"/>
              <w:rPr>
                <w:rFonts w:ascii="Calibri" w:hAnsi="Calibri" w:asciiTheme="minorHAnsi" w:hAnsiTheme="minorHAnsi"/>
                <w:b/>
                <w:b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b/>
                <w:sz w:val="20"/>
                <w:szCs w:val="20"/>
                <w:lang w:eastAsia="pl-PL"/>
              </w:rPr>
              <w:t>Literatura uzupełniaj</w:t>
            </w:r>
            <w:r>
              <w:rPr>
                <w:rFonts w:eastAsia="TimesNewRoman" w:cs="TimesNewRoman" w:ascii="Calibri" w:hAnsi="Calibri" w:asciiTheme="minorHAnsi" w:hAnsiTheme="minorHAnsi"/>
                <w:b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b/>
                <w:sz w:val="20"/>
                <w:szCs w:val="20"/>
                <w:lang w:eastAsia="pl-PL"/>
              </w:rPr>
              <w:t>ca: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false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 xml:space="preserve">W. Kozłowski, </w:t>
            </w:r>
            <w:r>
              <w:rPr>
                <w:rFonts w:ascii="Calibri" w:hAnsi="Calibri" w:asciiTheme="minorHAnsi" w:hAnsiTheme="minorHAnsi"/>
                <w:i/>
                <w:iCs/>
                <w:sz w:val="20"/>
                <w:szCs w:val="20"/>
                <w:lang w:eastAsia="pl-PL"/>
              </w:rPr>
              <w:t>Motywowanie pracowników w organizacji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, CeDeWu, Warszawa 2020.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false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 xml:space="preserve">J. Jędrzejczak, </w:t>
            </w:r>
            <w:r>
              <w:rPr>
                <w:rFonts w:ascii="Calibri" w:hAnsi="Calibri" w:asciiTheme="minorHAnsi" w:hAnsiTheme="minorHAnsi"/>
                <w:i/>
                <w:iCs/>
                <w:sz w:val="20"/>
                <w:szCs w:val="20"/>
                <w:lang w:eastAsia="pl-PL"/>
              </w:rPr>
              <w:t>Oceny okresowe pracowników. Zarządzanie przez ocenianie. Poradnik dobrych praktyk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, ODDK, Gdańsk 2016.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false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 xml:space="preserve">J. Liksza (red.), </w:t>
            </w:r>
            <w:r>
              <w:rPr>
                <w:rFonts w:ascii="Calibri" w:hAnsi="Calibri" w:asciiTheme="minorHAnsi" w:hAnsiTheme="minorHAnsi"/>
                <w:i/>
                <w:iCs/>
                <w:sz w:val="20"/>
                <w:szCs w:val="20"/>
                <w:lang w:eastAsia="pl-PL"/>
              </w:rPr>
              <w:t>Budowa systemu wynagrodzeń. Teoria i praktyka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, Wolters Kluwer Polska, Warszawa 2020.</w:t>
            </w:r>
          </w:p>
        </w:tc>
      </w:tr>
      <w:tr>
        <w:trPr>
          <w:trHeight w:val="397" w:hRule="atLeast"/>
        </w:trPr>
        <w:tc>
          <w:tcPr>
            <w:tcW w:w="99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Forma nakładu pracy studenta</w:t>
            </w:r>
          </w:p>
          <w:p>
            <w:pPr>
              <w:pStyle w:val="Normal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99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8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Udział w wykładach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cs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Calibri" w:hAnsi="Calibri"/>
                <w:kern w:val="2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9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65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7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9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99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2</w:t>
            </w: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>
            <w:pPr>
              <w:pStyle w:val="Normal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cs="Times New Roman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Calibri" w:hAnsi="Calibr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99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99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</w:t>
            </w: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5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Calibri" w:hAnsi="Calibri"/>
                <w:sz w:val="20"/>
                <w:szCs w:val="20"/>
                <w:lang w:eastAsia="en-US"/>
              </w:rPr>
              <w:t>3</w:t>
            </w: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0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41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Calibri" w:hAnsi="Calibri"/>
                <w:sz w:val="20"/>
                <w:szCs w:val="20"/>
                <w:lang w:eastAsia="en-US"/>
              </w:rPr>
              <w:t>3</w:t>
            </w: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3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5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cs="Times New Roman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Calibri" w:hAnsi="Calibri"/>
                <w:b/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Style w:val="Domylnaczcionkaakapitu1"/>
                <w:rFonts w:ascii="Calibri" w:hAnsi="Calibri" w:eastAsia="Calibri"/>
                <w:b/>
                <w:b/>
                <w:kern w:val="2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Style w:val="Domylnaczcionkaakapitu1"/>
                <w:rFonts w:eastAsia="Calibri" w:ascii="Calibri" w:hAnsi="Calibri"/>
                <w:b/>
                <w:sz w:val="20"/>
                <w:szCs w:val="20"/>
                <w:lang w:eastAsia="en-US"/>
              </w:rPr>
              <w:t xml:space="preserve">Liczba punktów ECTS, uzyskiwanych przez studenta w ramach samodzielnej pracy </w:t>
            </w:r>
            <w:r>
              <w:rPr>
                <w:rStyle w:val="Domylnaczcionkaakapitu1"/>
                <w:rFonts w:eastAsia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cs="Times New Roman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Calibri" w:hAnsi="Calibri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cs="Times New Roman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Calibri" w:hAnsi="Calibri"/>
                <w:b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right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cs="Times New Roman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Calibri" w:hAnsi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99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Zajęcia praktyczne (Wydział Nauk o Zdrowiu i Wydział Nauk Medycznych)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color w:val="FF0000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color w:val="FF0000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/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>
            <w:pPr>
              <w:pStyle w:val="Normal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/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99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1" w:hRule="atLeast"/>
        </w:trPr>
        <w:tc>
          <w:tcPr>
            <w:tcW w:w="99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2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774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rFonts w:eastAsia="Calibri"/>
          <w:kern w:val="2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*</w:t>
      </w:r>
      <w:r>
        <w:rPr/>
        <w:t xml:space="preserve"> </w:t>
      </w:r>
      <w:r>
        <w:rPr>
          <w:rFonts w:eastAsia="Calibri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/>
          <w:i/>
          <w:sz w:val="20"/>
          <w:szCs w:val="20"/>
          <w:lang w:eastAsia="en-US"/>
        </w:rPr>
        <w:t>o Zintegrowanym Systemie Kwalifikacj</w:t>
      </w:r>
      <w:r>
        <w:rPr>
          <w:rFonts w:eastAsia="Calibri"/>
          <w:sz w:val="20"/>
          <w:szCs w:val="20"/>
          <w:lang w:eastAsia="en-US"/>
        </w:rPr>
        <w:t xml:space="preserve">i, t.j. Dz. U. 2018, poz. 2153 oraz z Rozporządzeniem Ministra Nauki i Szkolnictwa Wyższego z dnia 14 listopada 2018 roku </w:t>
      </w:r>
      <w:r>
        <w:rPr>
          <w:rFonts w:eastAsia="Calibri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/>
          <w:sz w:val="20"/>
          <w:szCs w:val="20"/>
          <w:lang w:eastAsia="en-US"/>
        </w:rPr>
        <w:t>, Dz. U. 2018, poz. 2218.</w:t>
      </w:r>
    </w:p>
    <w:p>
      <w:pPr>
        <w:pStyle w:val="Normal"/>
        <w:rPr>
          <w:rFonts w:ascii="Calibri" w:hAnsi="Calibri" w:eastAsia="Calibri"/>
          <w:sz w:val="20"/>
          <w:szCs w:val="20"/>
          <w:lang w:eastAsia="en-US"/>
        </w:rPr>
      </w:pPr>
      <w:r>
        <w:rPr>
          <w:rFonts w:eastAsia="Calibri" w:ascii="Calibri" w:hAnsi="Calibri"/>
          <w:sz w:val="20"/>
          <w:szCs w:val="20"/>
          <w:lang w:eastAsia="en-US"/>
        </w:rPr>
      </w:r>
    </w:p>
    <w:p>
      <w:pPr>
        <w:pStyle w:val="Normal"/>
        <w:rPr/>
      </w:pPr>
      <w:r>
        <w:rPr/>
      </w:r>
    </w:p>
    <w:p>
      <w:pPr>
        <w:pStyle w:val="Normal"/>
        <w:rPr>
          <w:rFonts w:ascii="Calibri" w:hAnsi="Calibri" w:eastAsia="Calibri"/>
          <w:sz w:val="20"/>
          <w:szCs w:val="20"/>
          <w:lang w:eastAsia="en-US"/>
        </w:rPr>
      </w:pPr>
      <w:r>
        <w:rPr>
          <w:rFonts w:eastAsia="Calibri" w:ascii="Calibri" w:hAnsi="Calibri"/>
          <w:sz w:val="20"/>
          <w:szCs w:val="20"/>
          <w:lang w:eastAsia="en-US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onsola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 Unicode MS">
    <w:charset w:val="ee"/>
    <w:family w:val="roman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5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5814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ar-SA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omylnaczcionkaakapitu1" w:customStyle="1">
    <w:name w:val="Domyślna czcionka akapitu1"/>
    <w:qFormat/>
    <w:rsid w:val="00825814"/>
    <w:rPr/>
  </w:style>
  <w:style w:type="character" w:styleId="TekstprzypisudolnegoZnak" w:customStyle="1">
    <w:name w:val="Tekst przypisu dolnego Znak"/>
    <w:basedOn w:val="DefaultParagraphFont"/>
    <w:link w:val="Tekstprzypisudolnego"/>
    <w:qFormat/>
    <w:rsid w:val="00825814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HTMLwstpniesformatowanyZnak" w:customStyle="1">
    <w:name w:val="HTML - wstępnie sformatowany Znak"/>
    <w:basedOn w:val="DefaultParagraphFont"/>
    <w:uiPriority w:val="99"/>
    <w:semiHidden/>
    <w:qFormat/>
    <w:rsid w:val="00825814"/>
    <w:rPr>
      <w:rFonts w:ascii="Consolas" w:hAnsi="Consolas" w:eastAsia="Times New Roman" w:cs="Consolas"/>
      <w:sz w:val="20"/>
      <w:szCs w:val="20"/>
      <w:lang w:eastAsia="ar-SA"/>
    </w:rPr>
  </w:style>
  <w:style w:type="character" w:styleId="HTMLwstpniesformatowanyZnak1" w:customStyle="1">
    <w:name w:val="HTML - wstępnie sformatowany Znak1"/>
    <w:basedOn w:val="DefaultParagraphFont"/>
    <w:link w:val="HTML-wstpniesformatowany"/>
    <w:semiHidden/>
    <w:qFormat/>
    <w:rsid w:val="00825814"/>
    <w:rPr>
      <w:rFonts w:ascii="Courier New" w:hAnsi="Courier New" w:eastAsia="Times New Roman" w:cs="Courier New"/>
      <w:sz w:val="20"/>
      <w:szCs w:val="20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Przypisdolny">
    <w:name w:val="Footnote Text"/>
    <w:basedOn w:val="Normal"/>
    <w:link w:val="TekstprzypisudolnegoZnak"/>
    <w:rsid w:val="00825814"/>
    <w:pPr>
      <w:spacing w:before="280" w:after="280"/>
    </w:pPr>
    <w:rPr/>
  </w:style>
  <w:style w:type="paragraph" w:styleId="NormalWeb">
    <w:name w:val="Normal (Web)"/>
    <w:basedOn w:val="Normal"/>
    <w:uiPriority w:val="99"/>
    <w:semiHidden/>
    <w:qFormat/>
    <w:rsid w:val="00825814"/>
    <w:pPr>
      <w:spacing w:before="280" w:after="280"/>
    </w:pPr>
    <w:rPr>
      <w:rFonts w:ascii="Arial Unicode MS" w:hAnsi="Arial Unicode MS" w:eastAsia="Arial Unicode MS" w:cs="Arial Unicode MS"/>
    </w:rPr>
  </w:style>
  <w:style w:type="paragraph" w:styleId="Xl442" w:customStyle="1">
    <w:name w:val="xl442"/>
    <w:basedOn w:val="Normal"/>
    <w:qFormat/>
    <w:rsid w:val="00825814"/>
    <w:pPr>
      <w:suppressAutoHyphens w:val="false"/>
      <w:spacing w:beforeAutospacing="1" w:afterAutospacing="1"/>
    </w:pPr>
    <w:rPr>
      <w:rFonts w:ascii="Arial" w:hAnsi="Arial" w:eastAsia="Arial Unicode MS" w:cs="Arial Unicode MS"/>
      <w:b/>
      <w:bCs/>
      <w:lang w:eastAsia="pl-PL"/>
    </w:rPr>
  </w:style>
  <w:style w:type="paragraph" w:styleId="Zawartotabeli" w:customStyle="1">
    <w:name w:val="Zawartość tabeli"/>
    <w:basedOn w:val="Normal"/>
    <w:qFormat/>
    <w:rsid w:val="00825814"/>
    <w:pPr>
      <w:widowControl w:val="false"/>
      <w:suppressLineNumbers/>
      <w:spacing w:lineRule="atLeast" w:line="100"/>
      <w:textAlignment w:val="baseline"/>
    </w:pPr>
    <w:rPr>
      <w:rFonts w:eastAsia="SimSun"/>
      <w:kern w:val="2"/>
      <w:lang w:eastAsia="zh-CN"/>
    </w:rPr>
  </w:style>
  <w:style w:type="paragraph" w:styleId="HTMLPreformatted">
    <w:name w:val="HTML Preformatted"/>
    <w:basedOn w:val="Normal"/>
    <w:link w:val="HTML-wstpniesformatowanyZnak1"/>
    <w:semiHidden/>
    <w:unhideWhenUsed/>
    <w:qFormat/>
    <w:rsid w:val="00825814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</w:pPr>
    <w:rPr>
      <w:rFonts w:ascii="Courier New" w:hAnsi="Courier New" w:cs="Courier New"/>
      <w:sz w:val="20"/>
      <w:szCs w:val="20"/>
      <w:lang w:eastAsia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1433</TotalTime>
  <Application>LibreOffice/6.4.6.2$Windows_X86_64 LibreOffice_project/0ce51a4fd21bff07a5c061082cc82c5ed232f115</Application>
  <Pages>4</Pages>
  <Words>1212</Words>
  <Characters>8272</Characters>
  <CharactersWithSpaces>9298</CharactersWithSpaces>
  <Paragraphs>210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2023-02-16T19:30:00Z</dcterms:created>
  <dc:creator>MK</dc:creator>
  <dc:description/>
  <dc:language>pl-PL</dc:language>
  <cp:lastModifiedBy/>
  <dcterms:modified xsi:type="dcterms:W3CDTF">2023-02-23T22:23:59Z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